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zh-CN"/>
        </w:rPr>
        <w:t>附件</w:t>
      </w:r>
      <w:r>
        <w:rPr>
          <w:rFonts w:hint="eastAsia" w:ascii="Times New Roman" w:hAnsi="Times New Roman" w:eastAsia="黑体" w:cs="Times New Roman"/>
          <w:sz w:val="32"/>
          <w:szCs w:val="32"/>
          <w:lang w:val="en-US" w:eastAsia="zh-CN"/>
        </w:rPr>
        <w:t>5</w:t>
      </w:r>
    </w:p>
    <w:p>
      <w:pPr>
        <w:pStyle w:val="2"/>
        <w:spacing w:before="120" w:after="120" w:line="360" w:lineRule="auto"/>
        <w:jc w:val="center"/>
        <w:rPr>
          <w:rFonts w:hint="default" w:ascii="Times New Roman" w:hAnsi="Times New Roman" w:eastAsia="方正小标宋简体" w:cs="Times New Roman"/>
          <w:b w:val="0"/>
          <w:sz w:val="36"/>
          <w:szCs w:val="32"/>
          <w:lang w:val="zh-CN"/>
        </w:rPr>
      </w:pPr>
      <w:bookmarkStart w:id="0" w:name="_GoBack"/>
      <w:bookmarkEnd w:id="0"/>
    </w:p>
    <w:p>
      <w:pPr>
        <w:pStyle w:val="2"/>
        <w:spacing w:before="120" w:after="120" w:line="360" w:lineRule="auto"/>
        <w:jc w:val="center"/>
        <w:rPr>
          <w:rFonts w:hint="default" w:ascii="Times New Roman" w:hAnsi="Times New Roman" w:eastAsia="方正小标宋简体" w:cs="Times New Roman"/>
          <w:b w:val="0"/>
          <w:sz w:val="44"/>
          <w:szCs w:val="44"/>
          <w:lang w:val="zh-CN"/>
        </w:rPr>
      </w:pPr>
      <w:r>
        <w:rPr>
          <w:rFonts w:hint="default" w:ascii="Times New Roman" w:hAnsi="Times New Roman" w:eastAsia="方正小标宋简体" w:cs="Times New Roman"/>
          <w:b w:val="0"/>
          <w:sz w:val="44"/>
          <w:szCs w:val="44"/>
          <w:lang w:val="zh-CN"/>
        </w:rPr>
        <w:t>已上市中药变更事项及申报资料要求</w:t>
      </w:r>
    </w:p>
    <w:p>
      <w:pPr>
        <w:adjustRightInd w:val="0"/>
        <w:snapToGrid w:val="0"/>
        <w:spacing w:after="312" w:afterLines="100" w:line="360" w:lineRule="auto"/>
        <w:jc w:val="center"/>
        <w:rPr>
          <w:rFonts w:hint="default" w:ascii="Times New Roman" w:hAnsi="Times New Roman" w:eastAsia="方正小标宋简体" w:cs="Times New Roman"/>
          <w:sz w:val="44"/>
          <w:szCs w:val="44"/>
          <w:lang w:val="zh-CN"/>
        </w:rPr>
      </w:pPr>
      <w:r>
        <w:rPr>
          <w:rFonts w:hint="default" w:ascii="Times New Roman" w:hAnsi="Times New Roman" w:eastAsia="方正小标宋简体" w:cs="Times New Roman"/>
          <w:sz w:val="44"/>
          <w:szCs w:val="44"/>
          <w:lang w:val="zh-CN"/>
        </w:rPr>
        <w:t>（征求意见稿）</w:t>
      </w:r>
    </w:p>
    <w:p>
      <w:pPr>
        <w:adjustRightInd w:val="0"/>
        <w:snapToGrid w:val="0"/>
        <w:spacing w:after="312" w:afterLines="100" w:line="360" w:lineRule="auto"/>
        <w:jc w:val="center"/>
        <w:rPr>
          <w:rFonts w:hint="default" w:ascii="Times New Roman" w:hAnsi="Times New Roman" w:eastAsia="黑体" w:cs="Times New Roman"/>
          <w:sz w:val="32"/>
          <w:szCs w:val="32"/>
        </w:rPr>
      </w:pPr>
    </w:p>
    <w:p>
      <w:pPr>
        <w:adjustRightInd w:val="0"/>
        <w:snapToGrid w:val="0"/>
        <w:spacing w:after="312" w:afterLines="100"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目录</w:t>
      </w:r>
    </w:p>
    <w:p>
      <w:pPr>
        <w:adjustRightInd w:val="0"/>
        <w:snapToGrid w:val="0"/>
        <w:spacing w:line="360" w:lineRule="auto"/>
        <w:rPr>
          <w:rFonts w:hint="default" w:ascii="Times New Roman" w:hAnsi="Times New Roman" w:eastAsia="宋体" w:cs="Times New Roman"/>
          <w:b/>
          <w:szCs w:val="21"/>
        </w:rPr>
      </w:pPr>
    </w:p>
    <w:p>
      <w:pPr>
        <w:adjustRightInd w:val="0"/>
        <w:snapToGrid w:val="0"/>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一、已上市中药变更事项</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color w:val="000000"/>
          <w:sz w:val="32"/>
          <w:szCs w:val="32"/>
        </w:rPr>
        <w:t>（一</w:t>
      </w:r>
      <w:r>
        <w:rPr>
          <w:rFonts w:hint="default" w:ascii="Times New Roman" w:hAnsi="Times New Roman" w:eastAsia="黑体" w:cs="Times New Roman"/>
          <w:sz w:val="32"/>
          <w:szCs w:val="32"/>
        </w:rPr>
        <w:t>）国家药品监管部门审批的补充申请事项</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（二）国家或省级药品监管部门备案事项</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（三）报告事项</w:t>
      </w:r>
    </w:p>
    <w:p>
      <w:pPr>
        <w:adjustRightInd w:val="0"/>
        <w:snapToGrid w:val="0"/>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二、申报资料项目及要求</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color w:val="000000"/>
          <w:sz w:val="32"/>
          <w:szCs w:val="32"/>
        </w:rPr>
        <w:t>（一</w:t>
      </w:r>
      <w:r>
        <w:rPr>
          <w:rFonts w:hint="default" w:ascii="Times New Roman" w:hAnsi="Times New Roman" w:eastAsia="黑体" w:cs="Times New Roman"/>
          <w:sz w:val="32"/>
          <w:szCs w:val="32"/>
        </w:rPr>
        <w:t>）国家药品监管部门审批的补充申请事项</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（二）国家或省级药品监管部门备案事项</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（三）报告事项</w:t>
      </w:r>
    </w:p>
    <w:p>
      <w:pPr>
        <w:adjustRightInd w:val="0"/>
        <w:snapToGrid w:val="0"/>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三、相关申请事项说明</w:t>
      </w:r>
    </w:p>
    <w:p>
      <w:pPr>
        <w:widowControl/>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根据《药品注册管理办法》规定，药品上市后的变更，按照其对药品安全性、有效性和质量可控性的风险和产生影响的程度，实行分类管理，分为审批类变更、备案类变更和报告类变更。其中，国家药品监管部门审批类变更事项需要按以下分类提出补充申请，备案类变更和报告类变更按以下分类进行备案或报告。</w:t>
      </w:r>
    </w:p>
    <w:p>
      <w:pPr>
        <w:pStyle w:val="2"/>
        <w:spacing w:before="0" w:after="0" w:line="360" w:lineRule="auto"/>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b w:val="0"/>
          <w:bCs w:val="0"/>
          <w:sz w:val="32"/>
          <w:szCs w:val="32"/>
        </w:rPr>
        <w:t>一、已上市中药变更事项</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（一）国家药品监管部门审批的补充申请事项</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sz w:val="32"/>
          <w:szCs w:val="32"/>
        </w:rPr>
        <w:t>1. 变</w:t>
      </w:r>
      <w:r>
        <w:rPr>
          <w:rFonts w:hint="default" w:ascii="Times New Roman" w:hAnsi="Times New Roman" w:eastAsia="仿宋_GB2312" w:cs="Times New Roman"/>
          <w:color w:val="000000" w:themeColor="text1"/>
          <w:sz w:val="32"/>
          <w:szCs w:val="32"/>
          <w14:textFill>
            <w14:solidFill>
              <w14:schemeClr w14:val="tx1"/>
            </w14:solidFill>
          </w14:textFill>
        </w:rPr>
        <w:t>更药品上市许可持有人。</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 变更适用人群范围但不改变给药途径、剂型和功能主治范围。</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3. 变更用法用量但不改变给药途径。</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 变更药品注册标准。</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5. 替换或减少国家药品标准或药品注册标准处方中的毒性药材或处于濒危状态的药材。</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6. 替换或增加“原料药、药用辅料和药包材登记信息公示”平台标记为I的辅料、药包材和容器。</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7. 变更药品说明书中安全性内容，如注意事项、不良反应、禁忌、药理毒理等相关事项。</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 下列变更事项中属于重大变更的情形：</w:t>
      </w:r>
    </w:p>
    <w:p>
      <w:pPr>
        <w:tabs>
          <w:tab w:val="left" w:pos="399"/>
        </w:tabs>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8.1变更药品规格；</w:t>
      </w:r>
    </w:p>
    <w:p>
      <w:pPr>
        <w:tabs>
          <w:tab w:val="left" w:pos="399"/>
        </w:tabs>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8.2变更药品生产场地；</w:t>
      </w:r>
    </w:p>
    <w:p>
      <w:pPr>
        <w:tabs>
          <w:tab w:val="left" w:pos="399"/>
        </w:tabs>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8.3变更生产工艺；</w:t>
      </w:r>
    </w:p>
    <w:p>
      <w:pPr>
        <w:tabs>
          <w:tab w:val="left" w:pos="399"/>
        </w:tabs>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8.4变更制剂处方中的辅料；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8.5变更药品包装材料和容器；</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8.6变更药品有效期或贮藏条件。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 其他。</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（二）国家或省级药品监管部门备案事项</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10. 下列变更事项中属于中等变更的情形：</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10.1变更药品包装规格；</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10.2变更药品生产场地；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10.3变更生产工艺；</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10.4变更制剂处方中的辅料；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10.5变更药品包装材料和容器；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10.6变更药品有效期或贮藏条件。</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11. 国家药品监督管理部门规定统一要求补充完善说明书的变更。</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12. 根据说明书内容变更药品包装标签相应内容。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13. 药品分包装。</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14. 其他（包括国家药品监管部门规定需要备案的其他变更）。</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其中境内生产药品报持有人所在地省级药品监管部门备案，境外生产药品报国家药品监督管理局药品审评中心备案。</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（三）报告事项</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15. 下列变更事项中属于微小变更的情形：</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15.1变更药品包装规格；</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15.2变更药品生产场地；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15.3变更生产工艺； </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15.4变更制剂处方中的辅料；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15.5变更药品包装材料和容器。</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16. 其他。</w:t>
      </w:r>
    </w:p>
    <w:p>
      <w:pPr>
        <w:adjustRightInd w:val="0"/>
        <w:snapToGrid w:val="0"/>
        <w:spacing w:line="360" w:lineRule="auto"/>
        <w:ind w:firstLine="640" w:firstLineChars="200"/>
        <w:rPr>
          <w:rFonts w:hint="default" w:ascii="Times New Roman" w:hAnsi="Times New Roman" w:eastAsia="宋体" w:cs="Times New Roman"/>
          <w:sz w:val="32"/>
          <w:szCs w:val="32"/>
        </w:rPr>
      </w:pPr>
    </w:p>
    <w:p>
      <w:pPr>
        <w:pStyle w:val="2"/>
        <w:spacing w:before="0" w:after="0" w:line="360" w:lineRule="auto"/>
        <w:ind w:firstLine="643" w:firstLineChars="200"/>
        <w:rPr>
          <w:rFonts w:hint="default" w:ascii="Times New Roman" w:hAnsi="Times New Roman" w:eastAsia="黑体" w:cs="Times New Roman"/>
          <w:b w:val="0"/>
          <w:sz w:val="32"/>
          <w:szCs w:val="32"/>
        </w:rPr>
      </w:pPr>
      <w:r>
        <w:rPr>
          <w:rFonts w:hint="default" w:ascii="Times New Roman" w:hAnsi="Times New Roman" w:eastAsia="黑体" w:cs="Times New Roman"/>
          <w:sz w:val="32"/>
          <w:szCs w:val="32"/>
        </w:rPr>
        <w:t>二、申报资料项目及要求</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（一）国家药品监管部门审批类变更事项</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药品注册证书及其附件的复印件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申报药品历次获得的批准文件，应能够清晰了解该品种完整的历史演变过程和目前状况。如药品注册证书、补充申请批件、药品标准制修订件、临床试验通知等。附件包括上述批件的附件，如药品的质量标准、生产工艺、说明书、标签及其他附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证明性文件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（1）《药品生产许可证》及其变更记录页、营业执照或机构合法登记证明文件。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境外持有人指定中国境内的企业法人办理相关药品注册事项的，应当提供委托文书、公证文书及其中文译文，以及注册代理机构的营业执照复印件。对于境外生产药品，应当提交其境外药品管理机构出具的允许药品变更的证明文件、公证认证文书及中文译文，或提供向所在地药品管理机构备案或年报的证明文件、公证认证文书及中文译文。具体要求参见中药相关受理审查指南。除变更药品规格、变更药品生产场地、变更上市许可持有人和变更上市许可持有人、生产企业名称或注册地址名称外，境外药品管理机构不能出具有关证明文件的，可以依据当地法律法规的规定做出说明。</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境内持有人转让药品上市许可的，受让方应获得所在省（区、市）药品监督管理部门颁发的《药品生产许可证》，同时提交转让方和受让方签订的转让协议。境外持有人变更的，提交其所在国家或地区药品管理机构出具的允许变更的证明文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（3）药品分包装，应提供分包装合同（含使用境外生产药品商标的授权）、分包装厂《药品生产许可证》。</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（4）变更境外生产药品注册代理机构等事项，提交证明文件的具体要求参见中药变更受理审查指南。</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检查相关信息（如适用）</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根据申请变更事项提供相应资料，包括药品研制情况信息表，药品生产情况信息表，现场主文件清单，药品注册临床试验研究信息表，临床试验信息表，标准复核意见及样品检验报告</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 立题目的和依据</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需要详细说明药品变更的目的和依据。</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修订的药品说明书样稿，并附详细修订说明。</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 修订的药品标签样稿，并附详细修订说明。</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 药学研究资料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按照国家药品监管部门公布的已上市中药变更相关技术指导原则开展研究，根据相关技术指导原则对注册事项的不同要求，提供部分或全部药学研究的试验资料和必要的原注册申请相关资料。 </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 药理毒理研究资料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根据变更事项的类别，提供相应的药理毒理试验资料和/或文献资料。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 临床研究资料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根据临床相关变更事项的类别，提供以下临床研究资料和/或文献资料。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变更事项需临床试验数据提供支持依据的，应先申请临床试验，申请临床试验前需要提供拟进行临床试验计划和临床试验方案。批准临床试验后，根据相关要求开展满足变更注册目的的临床试验，完成临床试验后申请变更时，需要参照新药的相关要求提供临床试验总结及其相关资料和文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变更事项拟申请减免临床试验的，需要提供既往开展的循证等级较高、质量较好的临床研究资料（如有，需提供完整的临床试验总结报告），支持申请事项的相关的国内外文献资料、其他支持性证据及相关证明性文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品安全性相关资料包括上市后安全性研究及相关文献资料、上市后安全性监测情况报告、国家不良反应中心监测报告、上市许可持有人自发收集的药品安全性信息，以及相关药物警戒计划等。对说明书安全性相关事项的完整性以及是否可以指导临床安全用药进行分析和说明。</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（二）国家或省级药品监管部门备案类变更事项</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申请人应按照已公布的中药技术指导原则开展研究，参照国家药品监管部门审批类变更事项的申报资料项目和要求提供备案资料。</w:t>
      </w:r>
    </w:p>
    <w:p>
      <w:pPr>
        <w:pStyle w:val="3"/>
        <w:spacing w:before="0" w:after="0" w:line="360" w:lineRule="auto"/>
        <w:ind w:firstLine="640" w:firstLineChars="200"/>
        <w:rPr>
          <w:rFonts w:hint="default" w:ascii="Times New Roman" w:hAnsi="Times New Roman" w:eastAsia="楷体_GB2312" w:cs="Times New Roman"/>
          <w:b w:val="0"/>
          <w:bCs w:val="0"/>
        </w:rPr>
      </w:pPr>
      <w:r>
        <w:rPr>
          <w:rFonts w:hint="default" w:ascii="Times New Roman" w:hAnsi="Times New Roman" w:eastAsia="楷体_GB2312" w:cs="Times New Roman"/>
          <w:b w:val="0"/>
          <w:bCs w:val="0"/>
        </w:rPr>
        <w:t>（三）报告事项</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报告事项应按照已公布的中药技术指导原则开展研究，并按照国家药品监管部门公布的有关报告类的相关规定执行。</w:t>
      </w:r>
    </w:p>
    <w:p>
      <w:pPr>
        <w:pStyle w:val="2"/>
        <w:spacing w:before="0" w:after="0" w:line="360" w:lineRule="auto"/>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三、相关申请事项说明</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同时申报多种变更情形的，一般应按最高技术要求的情形进行研究、申报和审评审批，且需要同时满足所有申请事项所需条件。如增加功能主治的同时，变更适用人群范围或用法用量，则需要按改良型新药申请注册；增加适用人群范围的同时，增加使用剂量或疗程者，一般应按新药的要求进行非临床安全性试验和临床试验。支持多种变更的重复研究和申报资料可以仅提供一套研究资料以支持多个注册申请。提供不同申报事项的申报资料需完整。</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国家药品监管部门审批的补充申请事项2、3、5一般应先申请临床试验，批准后进行临床试验，临床试验完成后再申请相应变更事项。</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变更药品上市许可持有人</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变更药品上市许可持有人同时关</w:t>
      </w:r>
      <w:r>
        <w:rPr>
          <w:rFonts w:hint="default" w:ascii="Times New Roman" w:hAnsi="Times New Roman" w:eastAsia="仿宋_GB2312" w:cs="Times New Roman"/>
          <w:color w:val="000000" w:themeColor="text1"/>
          <w:sz w:val="32"/>
          <w:szCs w:val="32"/>
          <w14:textFill>
            <w14:solidFill>
              <w14:schemeClr w14:val="tx1"/>
            </w14:solidFill>
          </w14:textFill>
        </w:rPr>
        <w:t>联其他变更的</w:t>
      </w:r>
      <w:r>
        <w:rPr>
          <w:rFonts w:hint="default" w:ascii="Times New Roman" w:hAnsi="Times New Roman" w:eastAsia="仿宋_GB2312" w:cs="Times New Roman"/>
          <w:sz w:val="32"/>
          <w:szCs w:val="32"/>
        </w:rPr>
        <w:t>，应按照国家药品监管部门公布的相关技术指导原则的有关要求开展研究，并按照对应分类提交申报资料。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变更适用人群范围但不改变给药途径、剂型和功能主治范围</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变更适用人群范围但不改变给药途径、剂型和功能主治范围，是指在原功能主治范围基本不变、给药途径和剂型保持一致的情况下，增加或变更适用人群范围申请，如增加特殊人群（如儿童、孕妇、老年人、肝肾功能不全者等）。</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该项申请一般应该提供1-9号中除药学研究资料外的全部申报资料，若同时涉及药学问题或变更的，应按照相关技术指导原则开展研究，提供相应的药学研究资料。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究目的和选题依据：应提供支持药品针对功能主治安全性、有效性证据资料；拟增加适用人群范围同一功能主治疾病流行情况，新增人群疾病特点与原适应人群疾病特点的一致性，治疗现状和临床需求，现有的药品安全性和有效性证据对拟增加人群可能的安全性和有效性支持情况分析。</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临床试验时，应根据适用人群范围变化情况，提供支持该项变更的药理毒理研究资料，如支持新适用人群范围的毒理学试验资料和/或文献资料；应提供拟进行新的适用人群范围的临床试验计划和方案及其相关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批准临床试验后针对拟增加的适用人群范围进行临床试验；一般应该进行Ⅱ、Ⅲ期临床试验，可根据增加适用人群范围的情况和已有的药品有效性、安全性证据支持程度，减免部分研究资料。但一般应进行确证性的临床试验，并满足新的适用人群范围足够暴露量的安全性评价。</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完成临床试验申请增加适用人群范围的，需要参照新药完成临床试验申请注册上市的要求提供相应的临床试验总结及其相关的资料和文件。</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变更用法用量但不改变给药途径</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变更用法用量但不改变给药途径，是指不变更功能主治和适用人群范围及给药途径的前提下，变更用法用量者，包括变更剂量、用药方案（变更用法、疗程）等。</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该项申请一般应该提供1-9号中除药学研究资料外的全部申报资料，若同时涉及药学问题或变更的，应按照相关技术指导原则开展研究，提供相应的药学研究资料。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研究目的和选题依据：应重点说明变更用法用量的目的和依据、原有用法用量存在不足和缺陷的证据。</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如变更用法用量涉及到增加使用剂量或延长疗程者，申请临床试验时，应提供支持变更的毒理学试验资料和/或文献资料。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批准临床试验后，应针对原功能主治，进行满足有效性和/或同时满足足够暴露量的安全性评价要求的对照性临床试验，以说明变更剂量的合理性。如果单次用药剂量增加者，根据安全性风险情况，增加Ⅰ期人体耐受性试验；如变更用法用量缺乏临床使用经验或数据支持，应进行Ⅱ期剂量探索研究。</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其他用法用量的变更（如变更溶媒、滴速、服药时间、服药间隔，明确给药方案、减小使用剂量或缩短疗程等），应进行相关的临床试验和/或文献资料以说明变更剂量的合理性。</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（四）</w:t>
      </w:r>
      <w:r>
        <w:rPr>
          <w:rFonts w:hint="default" w:ascii="Times New Roman" w:hAnsi="Times New Roman" w:eastAsia="楷体_GB2312" w:cs="Times New Roman"/>
          <w:sz w:val="32"/>
          <w:szCs w:val="32"/>
        </w:rPr>
        <w:t>替换或减少国家药品标准</w:t>
      </w:r>
      <w:r>
        <w:rPr>
          <w:rFonts w:hint="default" w:ascii="Times New Roman" w:hAnsi="Times New Roman" w:eastAsia="楷体_GB2312" w:cs="Times New Roman"/>
          <w:color w:val="000000" w:themeColor="text1"/>
          <w:sz w:val="32"/>
          <w:szCs w:val="32"/>
          <w14:textFill>
            <w14:solidFill>
              <w14:schemeClr w14:val="tx1"/>
            </w14:solidFill>
          </w14:textFill>
        </w:rPr>
        <w:t>或药品注册标准</w:t>
      </w:r>
      <w:r>
        <w:rPr>
          <w:rFonts w:hint="default" w:ascii="Times New Roman" w:hAnsi="Times New Roman" w:eastAsia="楷体_GB2312" w:cs="Times New Roman"/>
          <w:sz w:val="32"/>
          <w:szCs w:val="32"/>
        </w:rPr>
        <w:t>处方中的毒性药材或处于濒危状态的药材</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替换或减少国家药品标准或药品注册标准处方中的毒性药材或处于濒危状态的药材，是指申请人自行要求进行替代或减去药材的申请。</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该项申请一般应该提供1-9号的全部申报资料。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究目的和选题依据：原制剂功能主治的安全性、有效性证据资料；替代或减去处方中的毒性药材或处于濒危状态的药材的必要性，可行性；减去或替换处方中处于濒危状态的药材者，应提供中药资源评估报告以及相关的证明性文件等；减去或替换处方中毒性药材者，应提供原制剂不良反应等所有安全性信息和研究资料，并分析与毒性药材可能的关系；毒性药材或处于濒危状态的药材在处方中的地位和作用；替换药材的功能主治、选择依据等。</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根据毒性药材或处于濒危状态的药材在处方中发挥作用的不同，提供相应的药理毒理研究资料和临床试验；如替代的毒性药材或处于濒危状态的药材在处方中发挥主要作用的，需要提供药效学和毒理学对比试验资料及文献资料；若减去的毒性药材或处于濒危状态的药材在处方中发挥主要作用的，需要提供药效学对比试验资料；临床方面应针对主要病症进行临床试验，根据替代或减去的目的明确试验假设，进行与替代或减去前制剂的临床对比研究，试验结果应支持试验目的。如替代或减去的毒性药材或处于濒危状态的药材在处方中处于次要或辅助地位的，必要时提供药理毒理和临床试验资料。</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（五）</w:t>
      </w:r>
      <w:r>
        <w:rPr>
          <w:rFonts w:hint="default" w:ascii="Times New Roman" w:hAnsi="Times New Roman" w:eastAsia="楷体_GB2312" w:cs="Times New Roman"/>
          <w:sz w:val="32"/>
          <w:szCs w:val="32"/>
        </w:rPr>
        <w:t>变更药品说明书中安全性内容，包括不良反应、禁忌、注意事项、药理毒理等相关事项</w:t>
      </w:r>
    </w:p>
    <w:p>
      <w:pPr>
        <w:adjustRightInd w:val="0"/>
        <w:snapToGrid w:val="0"/>
        <w:spacing w:line="360" w:lineRule="auto"/>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修订【不良反应】【禁忌】【注意事项】等涉及安全性项目的，一般应提供与申请事项相关的资料，如：国家药监部门批准上市以来历次变更说明书的情况说明，现行最新的说明书样稿；同名同方制剂药物说明书安全性相关信息的分析说明；国家不良反应监测中心反馈的不良反应数据，企业自发收集到的不良反应数据，临床研究、临床应用、文献报道等境内外各种渠道收集到的关于本品不良反应的详细情况，并对所有药品不良反应进行评价、分析，制定科学合理可操作的风险控制措施，并把风险控制措施在说明书中体现出来；补充完善说明书安全性内容的依据，并分析变更对药品临床使用的安全性和有效性是否存在影响。</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如修订【药理毒理】项，应根据说明书撰写的相关要求进行修订，并提供相应的支持性资料。</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如修订或增加【临床试验】项，需要提供经国家药品监督管理局批准进行的临床试验的总结报告，并根据说明书撰写的相关要求修订或增加其相关内容。</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（六）</w:t>
      </w:r>
      <w:r>
        <w:rPr>
          <w:rFonts w:hint="default" w:ascii="Times New Roman" w:hAnsi="Times New Roman" w:eastAsia="楷体_GB2312" w:cs="Times New Roman"/>
          <w:sz w:val="32"/>
          <w:szCs w:val="32"/>
        </w:rPr>
        <w:t>药品分包装</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药品上市许可申请人申请药品分包装需符合《关于药品分包装的备案程序的通知》的相关要求。</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964419"/>
    </w:sdtPr>
    <w:sdtContent>
      <w:sdt>
        <w:sdtPr>
          <w:id w:val="-1669238322"/>
        </w:sdtPr>
        <w:sdtContent>
          <w:p>
            <w:pPr>
              <w:pStyle w:val="8"/>
              <w:jc w:val="center"/>
              <w:rPr>
                <w:rFonts w:hint="eastAsia"/>
              </w:rP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rFonts w:hint="eastAsia"/>
                <w:lang w:val="zh-CN"/>
              </w:rPr>
              <w:t>页</w:t>
            </w:r>
            <w:r>
              <w:rPr>
                <w:lang w:val="zh-CN"/>
              </w:rPr>
              <w:t>/</w:t>
            </w:r>
            <w:r>
              <w:rPr>
                <w:rFonts w:hint="eastAsia"/>
                <w:lang w:val="zh-CN"/>
              </w:rPr>
              <w:t>共</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r>
              <w:rPr>
                <w:rFonts w:hint="eastAsia"/>
                <w:lang w:val="zh-CN"/>
              </w:rPr>
              <w:t>页</w:t>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72"/>
    <w:rsid w:val="000007A8"/>
    <w:rsid w:val="0000278B"/>
    <w:rsid w:val="00002F84"/>
    <w:rsid w:val="00003E95"/>
    <w:rsid w:val="00007B2F"/>
    <w:rsid w:val="000103B2"/>
    <w:rsid w:val="00011E8A"/>
    <w:rsid w:val="000143D7"/>
    <w:rsid w:val="00015699"/>
    <w:rsid w:val="0001595A"/>
    <w:rsid w:val="00020FE6"/>
    <w:rsid w:val="00022D2E"/>
    <w:rsid w:val="0002387E"/>
    <w:rsid w:val="000247A5"/>
    <w:rsid w:val="00024A67"/>
    <w:rsid w:val="00024EC8"/>
    <w:rsid w:val="0002687B"/>
    <w:rsid w:val="00027A62"/>
    <w:rsid w:val="0003308C"/>
    <w:rsid w:val="0003331D"/>
    <w:rsid w:val="00036696"/>
    <w:rsid w:val="00041EC9"/>
    <w:rsid w:val="000421B5"/>
    <w:rsid w:val="00044220"/>
    <w:rsid w:val="00047A11"/>
    <w:rsid w:val="00047DB9"/>
    <w:rsid w:val="00050260"/>
    <w:rsid w:val="0005472F"/>
    <w:rsid w:val="000566B2"/>
    <w:rsid w:val="00061B8B"/>
    <w:rsid w:val="0007190E"/>
    <w:rsid w:val="000728E5"/>
    <w:rsid w:val="00081006"/>
    <w:rsid w:val="00081D79"/>
    <w:rsid w:val="00082BAA"/>
    <w:rsid w:val="00083749"/>
    <w:rsid w:val="0008381D"/>
    <w:rsid w:val="00090125"/>
    <w:rsid w:val="0009252F"/>
    <w:rsid w:val="00093629"/>
    <w:rsid w:val="00095C9F"/>
    <w:rsid w:val="0009620D"/>
    <w:rsid w:val="000A0417"/>
    <w:rsid w:val="000A066B"/>
    <w:rsid w:val="000A5706"/>
    <w:rsid w:val="000B043C"/>
    <w:rsid w:val="000B0DE7"/>
    <w:rsid w:val="000B2B45"/>
    <w:rsid w:val="000B48F4"/>
    <w:rsid w:val="000B560A"/>
    <w:rsid w:val="000B59F7"/>
    <w:rsid w:val="000C1B01"/>
    <w:rsid w:val="000C6773"/>
    <w:rsid w:val="000D2E0E"/>
    <w:rsid w:val="000D30BB"/>
    <w:rsid w:val="000D58B5"/>
    <w:rsid w:val="000D72AE"/>
    <w:rsid w:val="000E11C2"/>
    <w:rsid w:val="000E1AAD"/>
    <w:rsid w:val="000E5C83"/>
    <w:rsid w:val="000E768C"/>
    <w:rsid w:val="000F06CF"/>
    <w:rsid w:val="000F4080"/>
    <w:rsid w:val="000F4AE3"/>
    <w:rsid w:val="000F55E0"/>
    <w:rsid w:val="00102351"/>
    <w:rsid w:val="00102553"/>
    <w:rsid w:val="00103D00"/>
    <w:rsid w:val="001057D4"/>
    <w:rsid w:val="00107F0A"/>
    <w:rsid w:val="001101FC"/>
    <w:rsid w:val="001105C3"/>
    <w:rsid w:val="001136E7"/>
    <w:rsid w:val="00116FB9"/>
    <w:rsid w:val="001220AD"/>
    <w:rsid w:val="00123199"/>
    <w:rsid w:val="0012335C"/>
    <w:rsid w:val="00126633"/>
    <w:rsid w:val="00126807"/>
    <w:rsid w:val="00126E2F"/>
    <w:rsid w:val="001273F5"/>
    <w:rsid w:val="00130DA1"/>
    <w:rsid w:val="001319BF"/>
    <w:rsid w:val="00140B9F"/>
    <w:rsid w:val="00141C67"/>
    <w:rsid w:val="0014208C"/>
    <w:rsid w:val="00142CE4"/>
    <w:rsid w:val="00143F26"/>
    <w:rsid w:val="00150CC7"/>
    <w:rsid w:val="00151C8F"/>
    <w:rsid w:val="00152651"/>
    <w:rsid w:val="001526AC"/>
    <w:rsid w:val="0015510F"/>
    <w:rsid w:val="0015535F"/>
    <w:rsid w:val="00155392"/>
    <w:rsid w:val="00155E90"/>
    <w:rsid w:val="00156D25"/>
    <w:rsid w:val="0016162A"/>
    <w:rsid w:val="0016703A"/>
    <w:rsid w:val="00167218"/>
    <w:rsid w:val="0017072D"/>
    <w:rsid w:val="0017099B"/>
    <w:rsid w:val="0017609F"/>
    <w:rsid w:val="0017647F"/>
    <w:rsid w:val="00180619"/>
    <w:rsid w:val="001828D0"/>
    <w:rsid w:val="0018768D"/>
    <w:rsid w:val="001913AF"/>
    <w:rsid w:val="00191503"/>
    <w:rsid w:val="00191EF8"/>
    <w:rsid w:val="00192AFD"/>
    <w:rsid w:val="0019442E"/>
    <w:rsid w:val="00194908"/>
    <w:rsid w:val="001A0AAF"/>
    <w:rsid w:val="001A3783"/>
    <w:rsid w:val="001A5439"/>
    <w:rsid w:val="001A5F59"/>
    <w:rsid w:val="001A600E"/>
    <w:rsid w:val="001A71A2"/>
    <w:rsid w:val="001A7245"/>
    <w:rsid w:val="001B519D"/>
    <w:rsid w:val="001B567E"/>
    <w:rsid w:val="001B6568"/>
    <w:rsid w:val="001C0A07"/>
    <w:rsid w:val="001C202A"/>
    <w:rsid w:val="001C75CA"/>
    <w:rsid w:val="001D1020"/>
    <w:rsid w:val="001D1E61"/>
    <w:rsid w:val="001D2AF3"/>
    <w:rsid w:val="001D4440"/>
    <w:rsid w:val="001D5542"/>
    <w:rsid w:val="001D5967"/>
    <w:rsid w:val="001D7A57"/>
    <w:rsid w:val="001E1802"/>
    <w:rsid w:val="001E6C55"/>
    <w:rsid w:val="001F21C3"/>
    <w:rsid w:val="001F39CF"/>
    <w:rsid w:val="001F7B6A"/>
    <w:rsid w:val="00200088"/>
    <w:rsid w:val="0020195D"/>
    <w:rsid w:val="00202021"/>
    <w:rsid w:val="00205E91"/>
    <w:rsid w:val="00212659"/>
    <w:rsid w:val="00212E81"/>
    <w:rsid w:val="00217790"/>
    <w:rsid w:val="00217A57"/>
    <w:rsid w:val="00222443"/>
    <w:rsid w:val="00224239"/>
    <w:rsid w:val="00224DA8"/>
    <w:rsid w:val="00226B16"/>
    <w:rsid w:val="00230081"/>
    <w:rsid w:val="00230828"/>
    <w:rsid w:val="00236771"/>
    <w:rsid w:val="00237B32"/>
    <w:rsid w:val="002435EA"/>
    <w:rsid w:val="00243630"/>
    <w:rsid w:val="00243DC4"/>
    <w:rsid w:val="00244F65"/>
    <w:rsid w:val="002475F4"/>
    <w:rsid w:val="0025588C"/>
    <w:rsid w:val="002620DC"/>
    <w:rsid w:val="00263119"/>
    <w:rsid w:val="00267A67"/>
    <w:rsid w:val="00270811"/>
    <w:rsid w:val="00270C62"/>
    <w:rsid w:val="00274863"/>
    <w:rsid w:val="00275CBE"/>
    <w:rsid w:val="00275DAA"/>
    <w:rsid w:val="002812FC"/>
    <w:rsid w:val="002822D1"/>
    <w:rsid w:val="00282F97"/>
    <w:rsid w:val="002831AF"/>
    <w:rsid w:val="00284AF8"/>
    <w:rsid w:val="002865D3"/>
    <w:rsid w:val="0028674E"/>
    <w:rsid w:val="00293DDE"/>
    <w:rsid w:val="002A51CB"/>
    <w:rsid w:val="002A6A22"/>
    <w:rsid w:val="002B1DE1"/>
    <w:rsid w:val="002B57E2"/>
    <w:rsid w:val="002B6545"/>
    <w:rsid w:val="002C00AB"/>
    <w:rsid w:val="002C100B"/>
    <w:rsid w:val="002C1DEB"/>
    <w:rsid w:val="002C2492"/>
    <w:rsid w:val="002C53AB"/>
    <w:rsid w:val="002D5604"/>
    <w:rsid w:val="002D5BD0"/>
    <w:rsid w:val="002E3E16"/>
    <w:rsid w:val="002E3EC9"/>
    <w:rsid w:val="002F05E8"/>
    <w:rsid w:val="002F661D"/>
    <w:rsid w:val="002F666F"/>
    <w:rsid w:val="002F6B2B"/>
    <w:rsid w:val="002F7826"/>
    <w:rsid w:val="002F7E14"/>
    <w:rsid w:val="00301128"/>
    <w:rsid w:val="00301F7B"/>
    <w:rsid w:val="003024A5"/>
    <w:rsid w:val="00303F1A"/>
    <w:rsid w:val="00304061"/>
    <w:rsid w:val="00304B71"/>
    <w:rsid w:val="00307B84"/>
    <w:rsid w:val="00312A65"/>
    <w:rsid w:val="0031335A"/>
    <w:rsid w:val="0031777F"/>
    <w:rsid w:val="00317E5F"/>
    <w:rsid w:val="00321ABA"/>
    <w:rsid w:val="00321E30"/>
    <w:rsid w:val="00323F09"/>
    <w:rsid w:val="00325823"/>
    <w:rsid w:val="00326B9B"/>
    <w:rsid w:val="003271D6"/>
    <w:rsid w:val="0032795E"/>
    <w:rsid w:val="00327EE3"/>
    <w:rsid w:val="00332B3F"/>
    <w:rsid w:val="00333B80"/>
    <w:rsid w:val="00336D1D"/>
    <w:rsid w:val="003449DC"/>
    <w:rsid w:val="00344AC0"/>
    <w:rsid w:val="003458B7"/>
    <w:rsid w:val="00347D4C"/>
    <w:rsid w:val="00351074"/>
    <w:rsid w:val="00351A6E"/>
    <w:rsid w:val="00351BBF"/>
    <w:rsid w:val="00352ECE"/>
    <w:rsid w:val="00360EFA"/>
    <w:rsid w:val="0036160B"/>
    <w:rsid w:val="00366A85"/>
    <w:rsid w:val="00371866"/>
    <w:rsid w:val="003721F7"/>
    <w:rsid w:val="0037336F"/>
    <w:rsid w:val="0037495F"/>
    <w:rsid w:val="00375DF4"/>
    <w:rsid w:val="00380C05"/>
    <w:rsid w:val="00382C07"/>
    <w:rsid w:val="003843A7"/>
    <w:rsid w:val="003846A0"/>
    <w:rsid w:val="003856F4"/>
    <w:rsid w:val="003870A4"/>
    <w:rsid w:val="00387825"/>
    <w:rsid w:val="003948F9"/>
    <w:rsid w:val="003953CF"/>
    <w:rsid w:val="00396E0B"/>
    <w:rsid w:val="003A0068"/>
    <w:rsid w:val="003A35CD"/>
    <w:rsid w:val="003A53ED"/>
    <w:rsid w:val="003B047E"/>
    <w:rsid w:val="003B2084"/>
    <w:rsid w:val="003B27AD"/>
    <w:rsid w:val="003B7676"/>
    <w:rsid w:val="003C2615"/>
    <w:rsid w:val="003C27D3"/>
    <w:rsid w:val="003C4ED0"/>
    <w:rsid w:val="003C7202"/>
    <w:rsid w:val="003C7CFF"/>
    <w:rsid w:val="003D1C18"/>
    <w:rsid w:val="003D416C"/>
    <w:rsid w:val="003D4B7A"/>
    <w:rsid w:val="003D5ABF"/>
    <w:rsid w:val="003E00A7"/>
    <w:rsid w:val="003E1D96"/>
    <w:rsid w:val="003E78BF"/>
    <w:rsid w:val="003F1F77"/>
    <w:rsid w:val="003F3DA2"/>
    <w:rsid w:val="003F3E6F"/>
    <w:rsid w:val="003F6C19"/>
    <w:rsid w:val="003F7381"/>
    <w:rsid w:val="00401F62"/>
    <w:rsid w:val="00410B3A"/>
    <w:rsid w:val="0041110E"/>
    <w:rsid w:val="00411935"/>
    <w:rsid w:val="00411B62"/>
    <w:rsid w:val="00412376"/>
    <w:rsid w:val="004162BC"/>
    <w:rsid w:val="00424FF4"/>
    <w:rsid w:val="00431350"/>
    <w:rsid w:val="0043258E"/>
    <w:rsid w:val="00432AAE"/>
    <w:rsid w:val="00432DB6"/>
    <w:rsid w:val="00433ADC"/>
    <w:rsid w:val="00435EA5"/>
    <w:rsid w:val="00441B70"/>
    <w:rsid w:val="00456850"/>
    <w:rsid w:val="00457BC8"/>
    <w:rsid w:val="00457E77"/>
    <w:rsid w:val="00461EE6"/>
    <w:rsid w:val="00462FE9"/>
    <w:rsid w:val="00463293"/>
    <w:rsid w:val="00463FB0"/>
    <w:rsid w:val="00464254"/>
    <w:rsid w:val="00470A2A"/>
    <w:rsid w:val="00470E7E"/>
    <w:rsid w:val="00477E8F"/>
    <w:rsid w:val="00480D74"/>
    <w:rsid w:val="00480F99"/>
    <w:rsid w:val="004823A3"/>
    <w:rsid w:val="004852BA"/>
    <w:rsid w:val="00492741"/>
    <w:rsid w:val="00492BFB"/>
    <w:rsid w:val="00495651"/>
    <w:rsid w:val="004978FF"/>
    <w:rsid w:val="004A332E"/>
    <w:rsid w:val="004A3924"/>
    <w:rsid w:val="004A6386"/>
    <w:rsid w:val="004B0765"/>
    <w:rsid w:val="004B0BDE"/>
    <w:rsid w:val="004B22C8"/>
    <w:rsid w:val="004B35D5"/>
    <w:rsid w:val="004B5265"/>
    <w:rsid w:val="004B5CF4"/>
    <w:rsid w:val="004B71DE"/>
    <w:rsid w:val="004C3BF7"/>
    <w:rsid w:val="004C4880"/>
    <w:rsid w:val="004C48A0"/>
    <w:rsid w:val="004C65D7"/>
    <w:rsid w:val="004C7DB4"/>
    <w:rsid w:val="004D188D"/>
    <w:rsid w:val="004D214B"/>
    <w:rsid w:val="004D2F09"/>
    <w:rsid w:val="004D3851"/>
    <w:rsid w:val="004D3BEC"/>
    <w:rsid w:val="004D3F84"/>
    <w:rsid w:val="004D5431"/>
    <w:rsid w:val="004E0CC6"/>
    <w:rsid w:val="004E0CE1"/>
    <w:rsid w:val="004E4A8E"/>
    <w:rsid w:val="004E582B"/>
    <w:rsid w:val="004E583B"/>
    <w:rsid w:val="004F069A"/>
    <w:rsid w:val="004F0993"/>
    <w:rsid w:val="004F307E"/>
    <w:rsid w:val="004F405F"/>
    <w:rsid w:val="004F42E3"/>
    <w:rsid w:val="004F46B2"/>
    <w:rsid w:val="004F52F4"/>
    <w:rsid w:val="004F6B31"/>
    <w:rsid w:val="004F76B7"/>
    <w:rsid w:val="005017D0"/>
    <w:rsid w:val="00502593"/>
    <w:rsid w:val="0051202B"/>
    <w:rsid w:val="0051267B"/>
    <w:rsid w:val="00513077"/>
    <w:rsid w:val="0051603B"/>
    <w:rsid w:val="00520936"/>
    <w:rsid w:val="00522F2D"/>
    <w:rsid w:val="0052517B"/>
    <w:rsid w:val="00530FCC"/>
    <w:rsid w:val="005344B4"/>
    <w:rsid w:val="00535D5F"/>
    <w:rsid w:val="00540028"/>
    <w:rsid w:val="00540300"/>
    <w:rsid w:val="005423F6"/>
    <w:rsid w:val="0054266A"/>
    <w:rsid w:val="00542EF7"/>
    <w:rsid w:val="00543A6F"/>
    <w:rsid w:val="0054439F"/>
    <w:rsid w:val="00546348"/>
    <w:rsid w:val="00551676"/>
    <w:rsid w:val="00552289"/>
    <w:rsid w:val="00553776"/>
    <w:rsid w:val="00556111"/>
    <w:rsid w:val="00556A1B"/>
    <w:rsid w:val="00564118"/>
    <w:rsid w:val="0056664C"/>
    <w:rsid w:val="0057054C"/>
    <w:rsid w:val="00570C74"/>
    <w:rsid w:val="00572CF0"/>
    <w:rsid w:val="005901F8"/>
    <w:rsid w:val="00590C83"/>
    <w:rsid w:val="005910D1"/>
    <w:rsid w:val="0059217C"/>
    <w:rsid w:val="00592AE7"/>
    <w:rsid w:val="0059401D"/>
    <w:rsid w:val="005A2555"/>
    <w:rsid w:val="005A42F3"/>
    <w:rsid w:val="005A78F4"/>
    <w:rsid w:val="005B0711"/>
    <w:rsid w:val="005B280E"/>
    <w:rsid w:val="005B2EF0"/>
    <w:rsid w:val="005B4A4C"/>
    <w:rsid w:val="005C084A"/>
    <w:rsid w:val="005C1124"/>
    <w:rsid w:val="005C261B"/>
    <w:rsid w:val="005C314A"/>
    <w:rsid w:val="005C4CFE"/>
    <w:rsid w:val="005C5960"/>
    <w:rsid w:val="005D11EC"/>
    <w:rsid w:val="005D4344"/>
    <w:rsid w:val="005D7C25"/>
    <w:rsid w:val="005E233E"/>
    <w:rsid w:val="005E2A00"/>
    <w:rsid w:val="005E3BEB"/>
    <w:rsid w:val="005F0099"/>
    <w:rsid w:val="005F21C2"/>
    <w:rsid w:val="005F3562"/>
    <w:rsid w:val="005F5656"/>
    <w:rsid w:val="006020DD"/>
    <w:rsid w:val="0060455F"/>
    <w:rsid w:val="006046A8"/>
    <w:rsid w:val="00605BA5"/>
    <w:rsid w:val="0060793F"/>
    <w:rsid w:val="00611AE1"/>
    <w:rsid w:val="00613C50"/>
    <w:rsid w:val="006140D0"/>
    <w:rsid w:val="006168A8"/>
    <w:rsid w:val="006170B5"/>
    <w:rsid w:val="00621A3D"/>
    <w:rsid w:val="00625B01"/>
    <w:rsid w:val="00626C71"/>
    <w:rsid w:val="00627279"/>
    <w:rsid w:val="00631854"/>
    <w:rsid w:val="00633331"/>
    <w:rsid w:val="00634DDD"/>
    <w:rsid w:val="006408A2"/>
    <w:rsid w:val="00641F2B"/>
    <w:rsid w:val="00642A5A"/>
    <w:rsid w:val="00643A78"/>
    <w:rsid w:val="0064620D"/>
    <w:rsid w:val="006462D7"/>
    <w:rsid w:val="00647823"/>
    <w:rsid w:val="0065057B"/>
    <w:rsid w:val="00654BA7"/>
    <w:rsid w:val="00654FCC"/>
    <w:rsid w:val="006617F0"/>
    <w:rsid w:val="006637F1"/>
    <w:rsid w:val="006641AF"/>
    <w:rsid w:val="00664C32"/>
    <w:rsid w:val="0066753E"/>
    <w:rsid w:val="0066791A"/>
    <w:rsid w:val="00667B7A"/>
    <w:rsid w:val="00671BAF"/>
    <w:rsid w:val="006723FA"/>
    <w:rsid w:val="00674A61"/>
    <w:rsid w:val="00674B99"/>
    <w:rsid w:val="00674E9C"/>
    <w:rsid w:val="00677F45"/>
    <w:rsid w:val="00680492"/>
    <w:rsid w:val="00681CB5"/>
    <w:rsid w:val="00681DF3"/>
    <w:rsid w:val="006823EA"/>
    <w:rsid w:val="006826B2"/>
    <w:rsid w:val="0068307A"/>
    <w:rsid w:val="00686F0D"/>
    <w:rsid w:val="00690331"/>
    <w:rsid w:val="00692AA5"/>
    <w:rsid w:val="00692E04"/>
    <w:rsid w:val="006A2534"/>
    <w:rsid w:val="006A59C3"/>
    <w:rsid w:val="006A5A1D"/>
    <w:rsid w:val="006A633B"/>
    <w:rsid w:val="006A7DF2"/>
    <w:rsid w:val="006B2BD4"/>
    <w:rsid w:val="006B3913"/>
    <w:rsid w:val="006B4C89"/>
    <w:rsid w:val="006B4EAA"/>
    <w:rsid w:val="006B72D3"/>
    <w:rsid w:val="006C141B"/>
    <w:rsid w:val="006C1C15"/>
    <w:rsid w:val="006C368A"/>
    <w:rsid w:val="006C481A"/>
    <w:rsid w:val="006C5362"/>
    <w:rsid w:val="006C5B9B"/>
    <w:rsid w:val="006C6550"/>
    <w:rsid w:val="006C70B4"/>
    <w:rsid w:val="006C7A1B"/>
    <w:rsid w:val="006C7E40"/>
    <w:rsid w:val="006D1323"/>
    <w:rsid w:val="006D2045"/>
    <w:rsid w:val="006D218B"/>
    <w:rsid w:val="006D417D"/>
    <w:rsid w:val="006D4DA1"/>
    <w:rsid w:val="006D534B"/>
    <w:rsid w:val="006D66DC"/>
    <w:rsid w:val="006D7F38"/>
    <w:rsid w:val="006E5DB1"/>
    <w:rsid w:val="006F1786"/>
    <w:rsid w:val="006F1A4A"/>
    <w:rsid w:val="006F1D72"/>
    <w:rsid w:val="006F3E46"/>
    <w:rsid w:val="006F46CA"/>
    <w:rsid w:val="006F4EA3"/>
    <w:rsid w:val="00700E46"/>
    <w:rsid w:val="007027CA"/>
    <w:rsid w:val="00704BD9"/>
    <w:rsid w:val="00707BF6"/>
    <w:rsid w:val="0071317F"/>
    <w:rsid w:val="0071338F"/>
    <w:rsid w:val="00714171"/>
    <w:rsid w:val="007147B4"/>
    <w:rsid w:val="00714820"/>
    <w:rsid w:val="00714C95"/>
    <w:rsid w:val="00715A0E"/>
    <w:rsid w:val="00725258"/>
    <w:rsid w:val="0072552A"/>
    <w:rsid w:val="007257F8"/>
    <w:rsid w:val="0073046B"/>
    <w:rsid w:val="00731E32"/>
    <w:rsid w:val="0073261A"/>
    <w:rsid w:val="0073457B"/>
    <w:rsid w:val="00734F5A"/>
    <w:rsid w:val="00735B3B"/>
    <w:rsid w:val="00735E96"/>
    <w:rsid w:val="00740EEC"/>
    <w:rsid w:val="007415FB"/>
    <w:rsid w:val="007431A7"/>
    <w:rsid w:val="00745689"/>
    <w:rsid w:val="00745F67"/>
    <w:rsid w:val="0074718B"/>
    <w:rsid w:val="007476C4"/>
    <w:rsid w:val="00750119"/>
    <w:rsid w:val="00750142"/>
    <w:rsid w:val="00750454"/>
    <w:rsid w:val="0075087C"/>
    <w:rsid w:val="00751DA7"/>
    <w:rsid w:val="007532CC"/>
    <w:rsid w:val="00753A96"/>
    <w:rsid w:val="007550BD"/>
    <w:rsid w:val="00761894"/>
    <w:rsid w:val="00762E2F"/>
    <w:rsid w:val="0076336F"/>
    <w:rsid w:val="007646D4"/>
    <w:rsid w:val="00764E6F"/>
    <w:rsid w:val="00765C5C"/>
    <w:rsid w:val="0077130C"/>
    <w:rsid w:val="007718A8"/>
    <w:rsid w:val="00772928"/>
    <w:rsid w:val="00777132"/>
    <w:rsid w:val="007803E5"/>
    <w:rsid w:val="00781225"/>
    <w:rsid w:val="007834B2"/>
    <w:rsid w:val="00787D28"/>
    <w:rsid w:val="00787EFA"/>
    <w:rsid w:val="00795D1D"/>
    <w:rsid w:val="00796FD2"/>
    <w:rsid w:val="0079743D"/>
    <w:rsid w:val="00797C82"/>
    <w:rsid w:val="007A081C"/>
    <w:rsid w:val="007A0C14"/>
    <w:rsid w:val="007A2B2E"/>
    <w:rsid w:val="007A4B65"/>
    <w:rsid w:val="007A502C"/>
    <w:rsid w:val="007B4252"/>
    <w:rsid w:val="007B4AFA"/>
    <w:rsid w:val="007B5FE2"/>
    <w:rsid w:val="007B6911"/>
    <w:rsid w:val="007B6943"/>
    <w:rsid w:val="007B7381"/>
    <w:rsid w:val="007C0DCD"/>
    <w:rsid w:val="007C0FFC"/>
    <w:rsid w:val="007C3047"/>
    <w:rsid w:val="007C31BC"/>
    <w:rsid w:val="007C35D0"/>
    <w:rsid w:val="007C5353"/>
    <w:rsid w:val="007C62EE"/>
    <w:rsid w:val="007C7C9A"/>
    <w:rsid w:val="007D215A"/>
    <w:rsid w:val="007D48BE"/>
    <w:rsid w:val="007D6A71"/>
    <w:rsid w:val="007D7B04"/>
    <w:rsid w:val="007E3606"/>
    <w:rsid w:val="007E3610"/>
    <w:rsid w:val="007E4B32"/>
    <w:rsid w:val="007E742D"/>
    <w:rsid w:val="007E7552"/>
    <w:rsid w:val="007F11D8"/>
    <w:rsid w:val="007F1882"/>
    <w:rsid w:val="007F1D37"/>
    <w:rsid w:val="007F3AC7"/>
    <w:rsid w:val="007F3C1A"/>
    <w:rsid w:val="007F3E72"/>
    <w:rsid w:val="0080378A"/>
    <w:rsid w:val="00803F1F"/>
    <w:rsid w:val="00805242"/>
    <w:rsid w:val="00811996"/>
    <w:rsid w:val="008145E0"/>
    <w:rsid w:val="00814D76"/>
    <w:rsid w:val="00815D1E"/>
    <w:rsid w:val="00815D93"/>
    <w:rsid w:val="008172CA"/>
    <w:rsid w:val="0082081E"/>
    <w:rsid w:val="008222C0"/>
    <w:rsid w:val="00824937"/>
    <w:rsid w:val="00827460"/>
    <w:rsid w:val="00831247"/>
    <w:rsid w:val="008329B9"/>
    <w:rsid w:val="00835663"/>
    <w:rsid w:val="00842045"/>
    <w:rsid w:val="0084290B"/>
    <w:rsid w:val="00842E35"/>
    <w:rsid w:val="00844312"/>
    <w:rsid w:val="0084599D"/>
    <w:rsid w:val="008503BA"/>
    <w:rsid w:val="00853E10"/>
    <w:rsid w:val="008543C3"/>
    <w:rsid w:val="008559A1"/>
    <w:rsid w:val="00857F70"/>
    <w:rsid w:val="00862C10"/>
    <w:rsid w:val="008638BD"/>
    <w:rsid w:val="008639B3"/>
    <w:rsid w:val="00864B16"/>
    <w:rsid w:val="00864DCB"/>
    <w:rsid w:val="0086604B"/>
    <w:rsid w:val="00875C1B"/>
    <w:rsid w:val="0087604A"/>
    <w:rsid w:val="0087675F"/>
    <w:rsid w:val="00876CF9"/>
    <w:rsid w:val="008803CF"/>
    <w:rsid w:val="00886F56"/>
    <w:rsid w:val="00892C5F"/>
    <w:rsid w:val="008946E2"/>
    <w:rsid w:val="00897CDF"/>
    <w:rsid w:val="008A0240"/>
    <w:rsid w:val="008A1725"/>
    <w:rsid w:val="008A33AE"/>
    <w:rsid w:val="008A589B"/>
    <w:rsid w:val="008A6118"/>
    <w:rsid w:val="008A6DC3"/>
    <w:rsid w:val="008A7394"/>
    <w:rsid w:val="008B138B"/>
    <w:rsid w:val="008B3E0F"/>
    <w:rsid w:val="008B6658"/>
    <w:rsid w:val="008C121A"/>
    <w:rsid w:val="008C387E"/>
    <w:rsid w:val="008C440F"/>
    <w:rsid w:val="008C5DC6"/>
    <w:rsid w:val="008D481F"/>
    <w:rsid w:val="008E151F"/>
    <w:rsid w:val="008E403E"/>
    <w:rsid w:val="008E6AD2"/>
    <w:rsid w:val="008E72C4"/>
    <w:rsid w:val="008E7330"/>
    <w:rsid w:val="008E7C27"/>
    <w:rsid w:val="008E7D1E"/>
    <w:rsid w:val="008F0266"/>
    <w:rsid w:val="008F12A6"/>
    <w:rsid w:val="008F3A62"/>
    <w:rsid w:val="008F4A30"/>
    <w:rsid w:val="008F6ACA"/>
    <w:rsid w:val="008F7D3A"/>
    <w:rsid w:val="00902CA7"/>
    <w:rsid w:val="009045D1"/>
    <w:rsid w:val="00904BAC"/>
    <w:rsid w:val="00911C13"/>
    <w:rsid w:val="00912B77"/>
    <w:rsid w:val="009140EE"/>
    <w:rsid w:val="00917777"/>
    <w:rsid w:val="00922191"/>
    <w:rsid w:val="00925E7D"/>
    <w:rsid w:val="00926E45"/>
    <w:rsid w:val="009309C3"/>
    <w:rsid w:val="00930FEB"/>
    <w:rsid w:val="00931BDF"/>
    <w:rsid w:val="0093300A"/>
    <w:rsid w:val="009352C6"/>
    <w:rsid w:val="009363A1"/>
    <w:rsid w:val="0093782F"/>
    <w:rsid w:val="00940E6A"/>
    <w:rsid w:val="00941244"/>
    <w:rsid w:val="00942DFB"/>
    <w:rsid w:val="00943464"/>
    <w:rsid w:val="0094390F"/>
    <w:rsid w:val="00950AEC"/>
    <w:rsid w:val="00950EBB"/>
    <w:rsid w:val="00951275"/>
    <w:rsid w:val="00954FA8"/>
    <w:rsid w:val="009631EA"/>
    <w:rsid w:val="00963EB4"/>
    <w:rsid w:val="009642D5"/>
    <w:rsid w:val="00964449"/>
    <w:rsid w:val="00965570"/>
    <w:rsid w:val="00965839"/>
    <w:rsid w:val="00966DEE"/>
    <w:rsid w:val="00966F8B"/>
    <w:rsid w:val="00967B6C"/>
    <w:rsid w:val="0097267E"/>
    <w:rsid w:val="0097374C"/>
    <w:rsid w:val="009738B6"/>
    <w:rsid w:val="0097410B"/>
    <w:rsid w:val="009753DC"/>
    <w:rsid w:val="00975534"/>
    <w:rsid w:val="00976291"/>
    <w:rsid w:val="009769B9"/>
    <w:rsid w:val="00980182"/>
    <w:rsid w:val="0098101D"/>
    <w:rsid w:val="0098291D"/>
    <w:rsid w:val="00982D94"/>
    <w:rsid w:val="0098671D"/>
    <w:rsid w:val="0099106B"/>
    <w:rsid w:val="00992F7A"/>
    <w:rsid w:val="00995F03"/>
    <w:rsid w:val="00995F18"/>
    <w:rsid w:val="009971AA"/>
    <w:rsid w:val="009A1AFE"/>
    <w:rsid w:val="009A1B20"/>
    <w:rsid w:val="009A5C42"/>
    <w:rsid w:val="009B25F0"/>
    <w:rsid w:val="009B5577"/>
    <w:rsid w:val="009B5B04"/>
    <w:rsid w:val="009B6B90"/>
    <w:rsid w:val="009B7006"/>
    <w:rsid w:val="009B79D5"/>
    <w:rsid w:val="009C06C9"/>
    <w:rsid w:val="009C2596"/>
    <w:rsid w:val="009C530F"/>
    <w:rsid w:val="009C7A0A"/>
    <w:rsid w:val="009D01EF"/>
    <w:rsid w:val="009D0D4A"/>
    <w:rsid w:val="009D23D3"/>
    <w:rsid w:val="009D7D0D"/>
    <w:rsid w:val="009E36C3"/>
    <w:rsid w:val="009E5FCA"/>
    <w:rsid w:val="009E7479"/>
    <w:rsid w:val="009F436B"/>
    <w:rsid w:val="009F675D"/>
    <w:rsid w:val="009F6A1E"/>
    <w:rsid w:val="009F6F94"/>
    <w:rsid w:val="009F773F"/>
    <w:rsid w:val="00A0355A"/>
    <w:rsid w:val="00A07C9C"/>
    <w:rsid w:val="00A11CF1"/>
    <w:rsid w:val="00A1506A"/>
    <w:rsid w:val="00A159C2"/>
    <w:rsid w:val="00A166A8"/>
    <w:rsid w:val="00A201E3"/>
    <w:rsid w:val="00A248FF"/>
    <w:rsid w:val="00A24AA1"/>
    <w:rsid w:val="00A278AF"/>
    <w:rsid w:val="00A27D0B"/>
    <w:rsid w:val="00A30C09"/>
    <w:rsid w:val="00A31F2A"/>
    <w:rsid w:val="00A33946"/>
    <w:rsid w:val="00A33F3E"/>
    <w:rsid w:val="00A365FC"/>
    <w:rsid w:val="00A36AE2"/>
    <w:rsid w:val="00A433DB"/>
    <w:rsid w:val="00A4408D"/>
    <w:rsid w:val="00A47DA1"/>
    <w:rsid w:val="00A51065"/>
    <w:rsid w:val="00A65CAD"/>
    <w:rsid w:val="00A66488"/>
    <w:rsid w:val="00A6737D"/>
    <w:rsid w:val="00A72314"/>
    <w:rsid w:val="00A7244E"/>
    <w:rsid w:val="00A73DAD"/>
    <w:rsid w:val="00A80183"/>
    <w:rsid w:val="00A82A31"/>
    <w:rsid w:val="00A85FAF"/>
    <w:rsid w:val="00A909C3"/>
    <w:rsid w:val="00A946BE"/>
    <w:rsid w:val="00A94C84"/>
    <w:rsid w:val="00A951E4"/>
    <w:rsid w:val="00A96B91"/>
    <w:rsid w:val="00A97C61"/>
    <w:rsid w:val="00A97D1C"/>
    <w:rsid w:val="00AA0ADB"/>
    <w:rsid w:val="00AA218E"/>
    <w:rsid w:val="00AA529F"/>
    <w:rsid w:val="00AA6996"/>
    <w:rsid w:val="00AA6E01"/>
    <w:rsid w:val="00AA7090"/>
    <w:rsid w:val="00AA778B"/>
    <w:rsid w:val="00AB04B7"/>
    <w:rsid w:val="00AB2F40"/>
    <w:rsid w:val="00AB5E65"/>
    <w:rsid w:val="00AB63BD"/>
    <w:rsid w:val="00AB65B6"/>
    <w:rsid w:val="00AB77C0"/>
    <w:rsid w:val="00AC509D"/>
    <w:rsid w:val="00AD3637"/>
    <w:rsid w:val="00AE0E8A"/>
    <w:rsid w:val="00AE1A59"/>
    <w:rsid w:val="00AE1B29"/>
    <w:rsid w:val="00AE3259"/>
    <w:rsid w:val="00AE4433"/>
    <w:rsid w:val="00AE5340"/>
    <w:rsid w:val="00AE7E08"/>
    <w:rsid w:val="00AF05E1"/>
    <w:rsid w:val="00AF2684"/>
    <w:rsid w:val="00AF53CD"/>
    <w:rsid w:val="00AF6BBF"/>
    <w:rsid w:val="00AF72A8"/>
    <w:rsid w:val="00B004C8"/>
    <w:rsid w:val="00B01C43"/>
    <w:rsid w:val="00B03717"/>
    <w:rsid w:val="00B123E3"/>
    <w:rsid w:val="00B14F6E"/>
    <w:rsid w:val="00B155FB"/>
    <w:rsid w:val="00B1570C"/>
    <w:rsid w:val="00B16817"/>
    <w:rsid w:val="00B168B6"/>
    <w:rsid w:val="00B17BB5"/>
    <w:rsid w:val="00B2453D"/>
    <w:rsid w:val="00B31250"/>
    <w:rsid w:val="00B3164D"/>
    <w:rsid w:val="00B3173F"/>
    <w:rsid w:val="00B32360"/>
    <w:rsid w:val="00B3339C"/>
    <w:rsid w:val="00B33D83"/>
    <w:rsid w:val="00B345C4"/>
    <w:rsid w:val="00B34E20"/>
    <w:rsid w:val="00B3781E"/>
    <w:rsid w:val="00B40630"/>
    <w:rsid w:val="00B416CD"/>
    <w:rsid w:val="00B44B92"/>
    <w:rsid w:val="00B4698D"/>
    <w:rsid w:val="00B46A5C"/>
    <w:rsid w:val="00B50069"/>
    <w:rsid w:val="00B51521"/>
    <w:rsid w:val="00B52CC3"/>
    <w:rsid w:val="00B541E5"/>
    <w:rsid w:val="00B568E4"/>
    <w:rsid w:val="00B60B4F"/>
    <w:rsid w:val="00B62722"/>
    <w:rsid w:val="00B63414"/>
    <w:rsid w:val="00B63AC4"/>
    <w:rsid w:val="00B66F30"/>
    <w:rsid w:val="00B672F3"/>
    <w:rsid w:val="00B700D0"/>
    <w:rsid w:val="00B71FBD"/>
    <w:rsid w:val="00B81683"/>
    <w:rsid w:val="00B827EF"/>
    <w:rsid w:val="00B87431"/>
    <w:rsid w:val="00B92122"/>
    <w:rsid w:val="00B94C66"/>
    <w:rsid w:val="00B95A23"/>
    <w:rsid w:val="00B95B97"/>
    <w:rsid w:val="00BA019B"/>
    <w:rsid w:val="00BA35E2"/>
    <w:rsid w:val="00BA777F"/>
    <w:rsid w:val="00BB0842"/>
    <w:rsid w:val="00BB19AA"/>
    <w:rsid w:val="00BB1D8F"/>
    <w:rsid w:val="00BB2388"/>
    <w:rsid w:val="00BB34D4"/>
    <w:rsid w:val="00BB7F92"/>
    <w:rsid w:val="00BC0B47"/>
    <w:rsid w:val="00BC5065"/>
    <w:rsid w:val="00BC50E7"/>
    <w:rsid w:val="00BC7213"/>
    <w:rsid w:val="00BC75E2"/>
    <w:rsid w:val="00BD1542"/>
    <w:rsid w:val="00BD24FC"/>
    <w:rsid w:val="00BD64E2"/>
    <w:rsid w:val="00BE022C"/>
    <w:rsid w:val="00BE1745"/>
    <w:rsid w:val="00BE1CE1"/>
    <w:rsid w:val="00BE31D2"/>
    <w:rsid w:val="00BE5F02"/>
    <w:rsid w:val="00BE664E"/>
    <w:rsid w:val="00BE7E42"/>
    <w:rsid w:val="00BF05DB"/>
    <w:rsid w:val="00BF21C8"/>
    <w:rsid w:val="00BF23D9"/>
    <w:rsid w:val="00BF37C1"/>
    <w:rsid w:val="00C00E69"/>
    <w:rsid w:val="00C0181D"/>
    <w:rsid w:val="00C0285C"/>
    <w:rsid w:val="00C02FCE"/>
    <w:rsid w:val="00C05C40"/>
    <w:rsid w:val="00C1201F"/>
    <w:rsid w:val="00C16AEC"/>
    <w:rsid w:val="00C17040"/>
    <w:rsid w:val="00C21000"/>
    <w:rsid w:val="00C23CCF"/>
    <w:rsid w:val="00C264DA"/>
    <w:rsid w:val="00C26662"/>
    <w:rsid w:val="00C35474"/>
    <w:rsid w:val="00C359F2"/>
    <w:rsid w:val="00C3711E"/>
    <w:rsid w:val="00C37440"/>
    <w:rsid w:val="00C42CC5"/>
    <w:rsid w:val="00C45680"/>
    <w:rsid w:val="00C4731E"/>
    <w:rsid w:val="00C47988"/>
    <w:rsid w:val="00C50759"/>
    <w:rsid w:val="00C51501"/>
    <w:rsid w:val="00C539A2"/>
    <w:rsid w:val="00C53F5F"/>
    <w:rsid w:val="00C540D7"/>
    <w:rsid w:val="00C55824"/>
    <w:rsid w:val="00C62574"/>
    <w:rsid w:val="00C66005"/>
    <w:rsid w:val="00C71CD8"/>
    <w:rsid w:val="00C727C7"/>
    <w:rsid w:val="00C74669"/>
    <w:rsid w:val="00C776A8"/>
    <w:rsid w:val="00C84DFE"/>
    <w:rsid w:val="00C901A6"/>
    <w:rsid w:val="00C91740"/>
    <w:rsid w:val="00C96235"/>
    <w:rsid w:val="00C9709F"/>
    <w:rsid w:val="00CA0F60"/>
    <w:rsid w:val="00CA1A0D"/>
    <w:rsid w:val="00CA3847"/>
    <w:rsid w:val="00CA516A"/>
    <w:rsid w:val="00CA5444"/>
    <w:rsid w:val="00CA6A24"/>
    <w:rsid w:val="00CA6B10"/>
    <w:rsid w:val="00CA75E6"/>
    <w:rsid w:val="00CB1F66"/>
    <w:rsid w:val="00CB48F2"/>
    <w:rsid w:val="00CC173A"/>
    <w:rsid w:val="00CC2C53"/>
    <w:rsid w:val="00CC331F"/>
    <w:rsid w:val="00CC45EF"/>
    <w:rsid w:val="00CC56D5"/>
    <w:rsid w:val="00CC58E8"/>
    <w:rsid w:val="00CC680C"/>
    <w:rsid w:val="00CC6D03"/>
    <w:rsid w:val="00CC72E8"/>
    <w:rsid w:val="00CD0434"/>
    <w:rsid w:val="00CD06E3"/>
    <w:rsid w:val="00CD1451"/>
    <w:rsid w:val="00CD297F"/>
    <w:rsid w:val="00CD2F81"/>
    <w:rsid w:val="00CD3AF6"/>
    <w:rsid w:val="00CD3FC9"/>
    <w:rsid w:val="00CD711C"/>
    <w:rsid w:val="00CD7CC1"/>
    <w:rsid w:val="00CE196C"/>
    <w:rsid w:val="00CE19FB"/>
    <w:rsid w:val="00CE1B37"/>
    <w:rsid w:val="00CE1BD3"/>
    <w:rsid w:val="00CE1CB0"/>
    <w:rsid w:val="00CE2156"/>
    <w:rsid w:val="00CE230B"/>
    <w:rsid w:val="00CE24B2"/>
    <w:rsid w:val="00CE7053"/>
    <w:rsid w:val="00CE79ED"/>
    <w:rsid w:val="00CF077D"/>
    <w:rsid w:val="00CF5445"/>
    <w:rsid w:val="00D02BA9"/>
    <w:rsid w:val="00D0323D"/>
    <w:rsid w:val="00D065EA"/>
    <w:rsid w:val="00D11B8C"/>
    <w:rsid w:val="00D13FDD"/>
    <w:rsid w:val="00D16CE1"/>
    <w:rsid w:val="00D17731"/>
    <w:rsid w:val="00D17864"/>
    <w:rsid w:val="00D20161"/>
    <w:rsid w:val="00D227D9"/>
    <w:rsid w:val="00D24D94"/>
    <w:rsid w:val="00D2632E"/>
    <w:rsid w:val="00D30BE9"/>
    <w:rsid w:val="00D31C05"/>
    <w:rsid w:val="00D32D07"/>
    <w:rsid w:val="00D332FD"/>
    <w:rsid w:val="00D34259"/>
    <w:rsid w:val="00D35551"/>
    <w:rsid w:val="00D41173"/>
    <w:rsid w:val="00D426A5"/>
    <w:rsid w:val="00D44769"/>
    <w:rsid w:val="00D45C81"/>
    <w:rsid w:val="00D5209A"/>
    <w:rsid w:val="00D5281D"/>
    <w:rsid w:val="00D56671"/>
    <w:rsid w:val="00D57478"/>
    <w:rsid w:val="00D57D39"/>
    <w:rsid w:val="00D60315"/>
    <w:rsid w:val="00D61315"/>
    <w:rsid w:val="00D6514A"/>
    <w:rsid w:val="00D65B80"/>
    <w:rsid w:val="00D67010"/>
    <w:rsid w:val="00D71E30"/>
    <w:rsid w:val="00D72C64"/>
    <w:rsid w:val="00D80379"/>
    <w:rsid w:val="00D80B10"/>
    <w:rsid w:val="00D85CC8"/>
    <w:rsid w:val="00D87D48"/>
    <w:rsid w:val="00D9148E"/>
    <w:rsid w:val="00D937B1"/>
    <w:rsid w:val="00D946BE"/>
    <w:rsid w:val="00D9530E"/>
    <w:rsid w:val="00D9570F"/>
    <w:rsid w:val="00D974C7"/>
    <w:rsid w:val="00DA19BF"/>
    <w:rsid w:val="00DA2252"/>
    <w:rsid w:val="00DB02E6"/>
    <w:rsid w:val="00DB068D"/>
    <w:rsid w:val="00DB0D77"/>
    <w:rsid w:val="00DB193D"/>
    <w:rsid w:val="00DB246B"/>
    <w:rsid w:val="00DB3425"/>
    <w:rsid w:val="00DB6D32"/>
    <w:rsid w:val="00DC002D"/>
    <w:rsid w:val="00DC1469"/>
    <w:rsid w:val="00DC7C12"/>
    <w:rsid w:val="00DD021A"/>
    <w:rsid w:val="00DD1BB2"/>
    <w:rsid w:val="00DD7486"/>
    <w:rsid w:val="00DE09C9"/>
    <w:rsid w:val="00DE6EAF"/>
    <w:rsid w:val="00DE70E8"/>
    <w:rsid w:val="00DF04A7"/>
    <w:rsid w:val="00DF0B81"/>
    <w:rsid w:val="00DF11B1"/>
    <w:rsid w:val="00DF44AD"/>
    <w:rsid w:val="00DF4C75"/>
    <w:rsid w:val="00DF4FC0"/>
    <w:rsid w:val="00E00009"/>
    <w:rsid w:val="00E001DD"/>
    <w:rsid w:val="00E026BE"/>
    <w:rsid w:val="00E0362A"/>
    <w:rsid w:val="00E0527A"/>
    <w:rsid w:val="00E05EAF"/>
    <w:rsid w:val="00E07989"/>
    <w:rsid w:val="00E10F51"/>
    <w:rsid w:val="00E11325"/>
    <w:rsid w:val="00E14A0D"/>
    <w:rsid w:val="00E16079"/>
    <w:rsid w:val="00E171C7"/>
    <w:rsid w:val="00E1764C"/>
    <w:rsid w:val="00E20607"/>
    <w:rsid w:val="00E22B11"/>
    <w:rsid w:val="00E23FCD"/>
    <w:rsid w:val="00E25708"/>
    <w:rsid w:val="00E25CC4"/>
    <w:rsid w:val="00E26D2F"/>
    <w:rsid w:val="00E31291"/>
    <w:rsid w:val="00E31A7B"/>
    <w:rsid w:val="00E32EDC"/>
    <w:rsid w:val="00E33A1F"/>
    <w:rsid w:val="00E369C8"/>
    <w:rsid w:val="00E428A8"/>
    <w:rsid w:val="00E43B72"/>
    <w:rsid w:val="00E45040"/>
    <w:rsid w:val="00E475B4"/>
    <w:rsid w:val="00E51893"/>
    <w:rsid w:val="00E5235A"/>
    <w:rsid w:val="00E52819"/>
    <w:rsid w:val="00E53D66"/>
    <w:rsid w:val="00E55515"/>
    <w:rsid w:val="00E55D76"/>
    <w:rsid w:val="00E577D4"/>
    <w:rsid w:val="00E6082A"/>
    <w:rsid w:val="00E626B7"/>
    <w:rsid w:val="00E629BF"/>
    <w:rsid w:val="00E62C9F"/>
    <w:rsid w:val="00E642FF"/>
    <w:rsid w:val="00E64990"/>
    <w:rsid w:val="00E64C3C"/>
    <w:rsid w:val="00E7020F"/>
    <w:rsid w:val="00E72333"/>
    <w:rsid w:val="00E76E19"/>
    <w:rsid w:val="00E839EE"/>
    <w:rsid w:val="00E926ED"/>
    <w:rsid w:val="00E972AC"/>
    <w:rsid w:val="00EA20F2"/>
    <w:rsid w:val="00EA470E"/>
    <w:rsid w:val="00EA553D"/>
    <w:rsid w:val="00EA591A"/>
    <w:rsid w:val="00EA6A48"/>
    <w:rsid w:val="00EA78A0"/>
    <w:rsid w:val="00EB26EC"/>
    <w:rsid w:val="00EB3A46"/>
    <w:rsid w:val="00EB61C9"/>
    <w:rsid w:val="00EB6AF6"/>
    <w:rsid w:val="00EC2CDB"/>
    <w:rsid w:val="00EC3D3D"/>
    <w:rsid w:val="00EC4695"/>
    <w:rsid w:val="00EC4A17"/>
    <w:rsid w:val="00EC5639"/>
    <w:rsid w:val="00EC7319"/>
    <w:rsid w:val="00EC7E63"/>
    <w:rsid w:val="00ED0DE8"/>
    <w:rsid w:val="00ED24F2"/>
    <w:rsid w:val="00ED6982"/>
    <w:rsid w:val="00ED7CFF"/>
    <w:rsid w:val="00ED7DD5"/>
    <w:rsid w:val="00EE40E7"/>
    <w:rsid w:val="00EE4418"/>
    <w:rsid w:val="00EE4E17"/>
    <w:rsid w:val="00EE5DAA"/>
    <w:rsid w:val="00EE6635"/>
    <w:rsid w:val="00EE7D22"/>
    <w:rsid w:val="00EF05D3"/>
    <w:rsid w:val="00EF088A"/>
    <w:rsid w:val="00EF0E98"/>
    <w:rsid w:val="00EF0EF0"/>
    <w:rsid w:val="00EF6CF4"/>
    <w:rsid w:val="00EF7F26"/>
    <w:rsid w:val="00F0011E"/>
    <w:rsid w:val="00F10C6B"/>
    <w:rsid w:val="00F12BC2"/>
    <w:rsid w:val="00F1611E"/>
    <w:rsid w:val="00F2543E"/>
    <w:rsid w:val="00F36136"/>
    <w:rsid w:val="00F46FEB"/>
    <w:rsid w:val="00F47B37"/>
    <w:rsid w:val="00F47E6A"/>
    <w:rsid w:val="00F505D5"/>
    <w:rsid w:val="00F52F62"/>
    <w:rsid w:val="00F53ADA"/>
    <w:rsid w:val="00F544B9"/>
    <w:rsid w:val="00F546C1"/>
    <w:rsid w:val="00F56510"/>
    <w:rsid w:val="00F60D9E"/>
    <w:rsid w:val="00F61C14"/>
    <w:rsid w:val="00F62619"/>
    <w:rsid w:val="00F62A29"/>
    <w:rsid w:val="00F64672"/>
    <w:rsid w:val="00F66017"/>
    <w:rsid w:val="00F71C1A"/>
    <w:rsid w:val="00F75BAB"/>
    <w:rsid w:val="00F761EC"/>
    <w:rsid w:val="00F83AF7"/>
    <w:rsid w:val="00F84D13"/>
    <w:rsid w:val="00F851D8"/>
    <w:rsid w:val="00F8564A"/>
    <w:rsid w:val="00F858BF"/>
    <w:rsid w:val="00F931C8"/>
    <w:rsid w:val="00F950D7"/>
    <w:rsid w:val="00F9562B"/>
    <w:rsid w:val="00F95F7E"/>
    <w:rsid w:val="00FA0C74"/>
    <w:rsid w:val="00FA0ECA"/>
    <w:rsid w:val="00FA2D9C"/>
    <w:rsid w:val="00FA492E"/>
    <w:rsid w:val="00FA6B2F"/>
    <w:rsid w:val="00FB0308"/>
    <w:rsid w:val="00FB03D5"/>
    <w:rsid w:val="00FB061F"/>
    <w:rsid w:val="00FB0C96"/>
    <w:rsid w:val="00FB1C6D"/>
    <w:rsid w:val="00FB2694"/>
    <w:rsid w:val="00FB3F17"/>
    <w:rsid w:val="00FB5B3C"/>
    <w:rsid w:val="00FB7B24"/>
    <w:rsid w:val="00FC3473"/>
    <w:rsid w:val="00FC4F3D"/>
    <w:rsid w:val="00FC6092"/>
    <w:rsid w:val="00FC779B"/>
    <w:rsid w:val="00FD051D"/>
    <w:rsid w:val="00FD139A"/>
    <w:rsid w:val="00FD143F"/>
    <w:rsid w:val="00FD2086"/>
    <w:rsid w:val="00FD238F"/>
    <w:rsid w:val="00FD288D"/>
    <w:rsid w:val="00FD2BE8"/>
    <w:rsid w:val="00FD6E2D"/>
    <w:rsid w:val="00FD7D62"/>
    <w:rsid w:val="00FE199B"/>
    <w:rsid w:val="00FE354D"/>
    <w:rsid w:val="00FE4FDB"/>
    <w:rsid w:val="00FE5514"/>
    <w:rsid w:val="00FF034E"/>
    <w:rsid w:val="00FF2604"/>
    <w:rsid w:val="00FF3B96"/>
    <w:rsid w:val="00FF3C67"/>
    <w:rsid w:val="00FF3F6C"/>
    <w:rsid w:val="00FF41C7"/>
    <w:rsid w:val="00FF5935"/>
    <w:rsid w:val="00FF6F5E"/>
    <w:rsid w:val="0E2221B7"/>
    <w:rsid w:val="372017E5"/>
    <w:rsid w:val="43BA392E"/>
    <w:rsid w:val="4DFD6B2D"/>
    <w:rsid w:val="52A1192F"/>
    <w:rsid w:val="5F2F6CF3"/>
    <w:rsid w:val="669712D0"/>
    <w:rsid w:val="69EE069C"/>
    <w:rsid w:val="7DEF785C"/>
    <w:rsid w:val="7F7B4996"/>
    <w:rsid w:val="FAFC4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18"/>
    <w:semiHidden/>
    <w:unhideWhenUsed/>
    <w:qFormat/>
    <w:uiPriority w:val="99"/>
    <w:rPr>
      <w:b/>
      <w:bCs/>
    </w:rPr>
  </w:style>
  <w:style w:type="paragraph" w:styleId="6">
    <w:name w:val="annotation text"/>
    <w:basedOn w:val="1"/>
    <w:link w:val="17"/>
    <w:semiHidden/>
    <w:unhideWhenUsed/>
    <w:qFormat/>
    <w:uiPriority w:val="99"/>
    <w:pPr>
      <w:jc w:val="left"/>
    </w:pPr>
  </w:style>
  <w:style w:type="paragraph" w:styleId="7">
    <w:name w:val="Balloon Text"/>
    <w:basedOn w:val="1"/>
    <w:link w:val="15"/>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semiHidden/>
    <w:unhideWhenUsed/>
    <w:qFormat/>
    <w:uiPriority w:val="99"/>
    <w:rPr>
      <w:sz w:val="21"/>
      <w:szCs w:val="21"/>
    </w:rPr>
  </w:style>
  <w:style w:type="character" w:customStyle="1" w:styleId="13">
    <w:name w:val="页眉 字符"/>
    <w:basedOn w:val="10"/>
    <w:link w:val="9"/>
    <w:qFormat/>
    <w:uiPriority w:val="99"/>
    <w:rPr>
      <w:sz w:val="18"/>
      <w:szCs w:val="18"/>
    </w:rPr>
  </w:style>
  <w:style w:type="character" w:customStyle="1" w:styleId="14">
    <w:name w:val="页脚 字符"/>
    <w:basedOn w:val="10"/>
    <w:link w:val="8"/>
    <w:qFormat/>
    <w:uiPriority w:val="99"/>
    <w:rPr>
      <w:sz w:val="18"/>
      <w:szCs w:val="18"/>
    </w:rPr>
  </w:style>
  <w:style w:type="character" w:customStyle="1" w:styleId="15">
    <w:name w:val="批注框文本 字符"/>
    <w:basedOn w:val="10"/>
    <w:link w:val="7"/>
    <w:semiHidden/>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批注文字 字符"/>
    <w:basedOn w:val="10"/>
    <w:link w:val="6"/>
    <w:semiHidden/>
    <w:qFormat/>
    <w:uiPriority w:val="99"/>
    <w:rPr>
      <w:kern w:val="2"/>
      <w:sz w:val="21"/>
      <w:szCs w:val="22"/>
    </w:rPr>
  </w:style>
  <w:style w:type="character" w:customStyle="1" w:styleId="18">
    <w:name w:val="批注主题 字符"/>
    <w:basedOn w:val="17"/>
    <w:link w:val="5"/>
    <w:semiHidden/>
    <w:qFormat/>
    <w:uiPriority w:val="99"/>
    <w:rPr>
      <w:b/>
      <w:bCs/>
      <w:kern w:val="2"/>
      <w:sz w:val="21"/>
      <w:szCs w:val="22"/>
    </w:rPr>
  </w:style>
  <w:style w:type="character" w:customStyle="1" w:styleId="19">
    <w:name w:val="标题 1 字符"/>
    <w:basedOn w:val="10"/>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21">
    <w:name w:val="标题 3 字符"/>
    <w:basedOn w:val="10"/>
    <w:link w:val="4"/>
    <w:qFormat/>
    <w:uiPriority w:val="9"/>
    <w:rPr>
      <w:rFonts w:asciiTheme="minorHAnsi" w:hAnsiTheme="minorHAnsi" w:eastAsiaTheme="minorEastAsia" w:cstheme="minorBidi"/>
      <w:b/>
      <w:bCs/>
      <w:kern w:val="2"/>
      <w:sz w:val="32"/>
      <w:szCs w:val="32"/>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774</Words>
  <Characters>4413</Characters>
  <Lines>36</Lines>
  <Paragraphs>10</Paragraphs>
  <TotalTime>21</TotalTime>
  <ScaleCrop>false</ScaleCrop>
  <LinksUpToDate>false</LinksUpToDate>
  <CharactersWithSpaces>5177</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2020-04-22T09:31:00Z</dcterms:created>
  <dc:creator>NTKO</dc:creator>
  <cp:lastModifiedBy>user</cp:lastModifiedBy>
  <cp:lastPrinted>2020-03-24T18:59:00Z</cp:lastPrinted>
  <dcterms:modified xsi:type="dcterms:W3CDTF">2020-04-28T00:52:50Z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